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6" w:rsidRPr="00920E4A" w:rsidRDefault="00300876" w:rsidP="00645FD9">
      <w:pPr>
        <w:rPr>
          <w:rFonts w:ascii="PragmaticaCTT" w:hAnsi="PragmaticaCTT"/>
          <w:b/>
          <w:bCs/>
          <w:sz w:val="18"/>
          <w:szCs w:val="18"/>
        </w:rPr>
      </w:pPr>
    </w:p>
    <w:p w:rsidR="00F01F22" w:rsidRPr="00920E4A" w:rsidRDefault="00F01F22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920E4A">
        <w:rPr>
          <w:rFonts w:ascii="PragmaticaCTT" w:hAnsi="PragmaticaCTT"/>
          <w:b/>
          <w:bCs/>
          <w:sz w:val="18"/>
          <w:szCs w:val="18"/>
        </w:rPr>
        <w:t>Сообщение</w:t>
      </w:r>
      <w:r w:rsidR="009A5CCF" w:rsidRPr="00920E4A">
        <w:rPr>
          <w:rFonts w:ascii="PragmaticaCTT" w:hAnsi="PragmaticaCTT"/>
          <w:b/>
          <w:bCs/>
          <w:sz w:val="18"/>
          <w:szCs w:val="18"/>
        </w:rPr>
        <w:t xml:space="preserve"> </w:t>
      </w:r>
    </w:p>
    <w:p w:rsidR="007E5B01" w:rsidRPr="00920E4A" w:rsidRDefault="00922005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920E4A">
        <w:rPr>
          <w:rFonts w:ascii="PragmaticaCTT" w:hAnsi="PragmaticaCTT"/>
          <w:b/>
          <w:bCs/>
          <w:sz w:val="18"/>
          <w:szCs w:val="18"/>
        </w:rPr>
        <w:t>Об изменении</w:t>
      </w:r>
      <w:r w:rsidR="000A6292" w:rsidRPr="00920E4A">
        <w:rPr>
          <w:rFonts w:ascii="PragmaticaCTT" w:hAnsi="PragmaticaCTT"/>
          <w:b/>
          <w:bCs/>
          <w:sz w:val="18"/>
          <w:szCs w:val="18"/>
        </w:rPr>
        <w:t xml:space="preserve"> даты</w:t>
      </w:r>
      <w:r w:rsidR="007E5B01" w:rsidRPr="00920E4A">
        <w:rPr>
          <w:rFonts w:ascii="PragmaticaCTT" w:hAnsi="PragmaticaCTT"/>
          <w:b/>
          <w:bCs/>
          <w:sz w:val="18"/>
          <w:szCs w:val="18"/>
        </w:rPr>
        <w:t xml:space="preserve"> начала размещения ценных бумаг </w:t>
      </w:r>
    </w:p>
    <w:p w:rsidR="00300876" w:rsidRPr="00920E4A" w:rsidRDefault="00300876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p w:rsidR="00B83D74" w:rsidRPr="00016F8A" w:rsidRDefault="00B83D74" w:rsidP="001B469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E3C24" w:rsidRPr="00920E4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20E4A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920E4A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920E4A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920E4A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DA623A" w:rsidRPr="00920E4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A" w:rsidRPr="00920E4A" w:rsidRDefault="00DA623A" w:rsidP="004D1897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EE3C24" w:rsidRPr="00920E4A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CE64D4" w:rsidRPr="00920E4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20E4A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920E4A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2.1. Сведения о размещаемых ценных бумагах: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FA1D72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.1. Вид, категория (тип), серия и иные идентификационные признаки ценных бумаг: </w:t>
            </w:r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Документарные процентные неконвертируемые биржевые облигации </w:t>
            </w:r>
            <w:r w:rsidR="00DA623A" w:rsidRPr="00920E4A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ЗАО «КБ ДельтаКредит» </w:t>
            </w:r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на предъявителя с обязательным централизованным хранением серии БО-05, </w:t>
            </w:r>
            <w:proofErr w:type="spellStart"/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c</w:t>
            </w:r>
            <w:proofErr w:type="spellEnd"/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возможностью досрочного погашения по требованию владельцев,</w:t>
            </w:r>
            <w:r w:rsidR="00DA623A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идентификационный номер выпуска 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№4В020503338В 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от </w:t>
            </w:r>
            <w:r w:rsidR="00DA623A" w:rsidRPr="00920E4A">
              <w:rPr>
                <w:rFonts w:ascii="PragmaticaCTT" w:hAnsi="PragmaticaCTT"/>
                <w:b/>
                <w:sz w:val="18"/>
                <w:szCs w:val="18"/>
              </w:rPr>
              <w:t>29.03.2012 г. (далее именуемые – «Биржевые облигации»).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1E2BA5">
            <w:pPr>
              <w:ind w:right="85"/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.2. Срок погашения (для облигаций и опционов эмитента)</w:t>
            </w:r>
            <w:r w:rsidR="00300876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:</w:t>
            </w:r>
            <w:r w:rsidR="000D77C6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C97E68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В дату, которая наступает по истечении 3 (Трех) лет  </w:t>
            </w:r>
            <w:proofErr w:type="gramStart"/>
            <w:r w:rsidR="00C97E68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с даты начала</w:t>
            </w:r>
            <w:proofErr w:type="gramEnd"/>
            <w:r w:rsidR="00C97E68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размещения Биржевых облигаций выпуска</w:t>
            </w:r>
            <w:r w:rsidR="00C97E68" w:rsidRPr="00920E4A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0D77C6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.3.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Государственный регистрационный номер выпуска (дополнительного выпуска) ценных бумаг и дата государственной регистрации: </w:t>
            </w:r>
            <w:r w:rsidR="00DA623A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идентификационный номер выпуска </w:t>
            </w:r>
            <w:r w:rsidR="00DA623A" w:rsidRPr="00920E4A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№4В020503338В 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от </w:t>
            </w:r>
            <w:r w:rsidR="00DA623A" w:rsidRPr="00920E4A">
              <w:rPr>
                <w:rFonts w:ascii="PragmaticaCTT" w:hAnsi="PragmaticaCTT"/>
                <w:b/>
                <w:sz w:val="18"/>
                <w:szCs w:val="18"/>
              </w:rPr>
              <w:t>29.03.2012 г.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.4. 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="000D77C6" w:rsidRPr="00920E4A">
              <w:rPr>
                <w:rFonts w:ascii="PragmaticaCTT" w:hAnsi="PragmaticaCTT"/>
                <w:b/>
                <w:bCs/>
                <w:snapToGrid w:val="0"/>
                <w:color w:val="000000"/>
                <w:sz w:val="18"/>
                <w:szCs w:val="18"/>
              </w:rPr>
              <w:t>Присвоение выпуску идентификационного номера осуществило Закрытое акционерное общество «Фондовая биржа ММВБ»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:</w:t>
            </w:r>
            <w:r w:rsidR="002017CB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5 000 </w:t>
            </w:r>
            <w:proofErr w:type="spellStart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(Пять миллионов) штук номинальной стоимостью 1 000 (Одна тысяча) рублей каждая, общей номинальной стоимостью 5 000 </w:t>
            </w:r>
            <w:proofErr w:type="spellStart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proofErr w:type="spellStart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>000</w:t>
            </w:r>
            <w:proofErr w:type="spellEnd"/>
            <w:r w:rsidR="00C97E68" w:rsidRPr="00920E4A">
              <w:rPr>
                <w:rFonts w:ascii="PragmaticaCTT" w:hAnsi="PragmaticaCTT"/>
                <w:b/>
                <w:sz w:val="18"/>
                <w:szCs w:val="18"/>
              </w:rPr>
              <w:t xml:space="preserve"> (Пять миллиардов) рублей.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1E2BA5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.6. Способ размещения ценных бумаг, а в случае размещения ценных бумаг посредством закрытой подписки — также круг потенциальных приобретателей ценных бумаг</w:t>
            </w:r>
            <w:r w:rsidR="00300876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: </w:t>
            </w:r>
            <w:r w:rsidR="00300876" w:rsidRPr="00920E4A">
              <w:rPr>
                <w:rFonts w:ascii="PragmaticaCTT" w:hAnsi="PragmaticaCTT"/>
                <w:b/>
                <w:sz w:val="18"/>
                <w:szCs w:val="18"/>
              </w:rPr>
              <w:t>Открытая подписка</w:t>
            </w:r>
            <w:r w:rsidR="00401CED" w:rsidRPr="00920E4A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B01" w:rsidRPr="00920E4A" w:rsidRDefault="007E5B01" w:rsidP="001E2BA5">
            <w:pPr>
              <w:ind w:right="57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.7. 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Цена размещения ценных бумаг или порядок ее определения</w:t>
            </w:r>
            <w:r w:rsidRPr="00920E4A">
              <w:rPr>
                <w:rFonts w:ascii="PragmaticaCTT" w:hAnsi="PragmaticaCTT"/>
                <w:b/>
                <w:sz w:val="18"/>
                <w:szCs w:val="18"/>
              </w:rPr>
              <w:t xml:space="preserve">: 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Цена размещения Биржевых облигаций серии БО-05 </w:t>
            </w:r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в первый и последующие дни размещения устанавливается в размере</w:t>
            </w: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100% (Сто процентов) от номинальной стоимости Биржевых облигаций серии БО-05, что составляет 1000 (Одну тысячу) рублей за одну Биржевую облигацию серии БО-05.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Начиная со второго дня размещения Биржевых облигаций серии БО-05, покупатель при совершении сделки купли-продажи Биржевых облигаций серии БО-05 также уплачивает накопленный купонный доход (НКД) по Биржевым облигациям серии БО-05, определяемый по следующей формуле:</w:t>
            </w:r>
          </w:p>
          <w:p w:rsidR="00DA623A" w:rsidRPr="00920E4A" w:rsidRDefault="00DA623A" w:rsidP="00DA623A">
            <w:pPr>
              <w:jc w:val="both"/>
              <w:rPr>
                <w:rFonts w:ascii="PragmaticaCTT" w:hAnsi="PragmaticaCTT"/>
                <w:b/>
                <w:sz w:val="18"/>
                <w:szCs w:val="18"/>
                <w:lang w:val="de-DE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НКД</w:t>
            </w:r>
            <w:r w:rsidRPr="00920E4A">
              <w:rPr>
                <w:rFonts w:ascii="PragmaticaCTT" w:hAnsi="PragmaticaCTT"/>
                <w:b/>
                <w:sz w:val="18"/>
                <w:szCs w:val="18"/>
                <w:lang w:val="de-DE"/>
              </w:rPr>
              <w:t xml:space="preserve"> = Nom * C1 * (T - T0) / 365/ 100%, </w:t>
            </w:r>
            <w:r w:rsidRPr="00920E4A">
              <w:rPr>
                <w:rFonts w:ascii="PragmaticaCTT" w:hAnsi="PragmaticaCTT"/>
                <w:b/>
                <w:sz w:val="18"/>
                <w:szCs w:val="18"/>
              </w:rPr>
              <w:t>где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НКД - накопленный купонный доход, руб.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proofErr w:type="spell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Nom</w:t>
            </w:r>
            <w:proofErr w:type="spell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- номинальная стоимость одной Биржевой облигации серии БО-05, руб.;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С</w:t>
            </w:r>
            <w:proofErr w:type="gram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1</w:t>
            </w:r>
            <w:proofErr w:type="gram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- размер процентной ставки первого купона, в процентах годовых;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T - дата размещения Биржевых облигаций серии БО-05;</w:t>
            </w:r>
          </w:p>
          <w:p w:rsidR="00DA623A" w:rsidRPr="00920E4A" w:rsidRDefault="00DA623A" w:rsidP="00DA623A">
            <w:pPr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T0 - дата начала размещения Биржевых облигаций серии БО-05.</w:t>
            </w:r>
          </w:p>
          <w:p w:rsidR="001B3C77" w:rsidRPr="00920E4A" w:rsidRDefault="00DA623A" w:rsidP="00DA623A">
            <w:pPr>
              <w:jc w:val="both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proofErr w:type="gram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Величина накопленного купонного дохода в расчете на одну Биржевую облигацию определяется с точностью до одной копейки (округление производится по правилам математического округления.</w:t>
            </w:r>
            <w:proofErr w:type="gram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первая </w:t>
            </w:r>
            <w:proofErr w:type="gram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за</w:t>
            </w:r>
            <w:proofErr w:type="gram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округляемой цифра равна от 0 до 4, и изменяется, увеличиваясь на единицу, если первая за округляемой цифра равна 5 - 9).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0876" w:rsidRPr="00920E4A" w:rsidRDefault="007E5B01" w:rsidP="00B15734">
            <w:pPr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2.1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.8. 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Предоставление участникам (акционерам) эмитента и/или иным лицам преимущественного права приобретения ценных бумаг: </w:t>
            </w:r>
            <w:r w:rsidRPr="00920E4A">
              <w:rPr>
                <w:rFonts w:ascii="PragmaticaCTT" w:hAnsi="PragmaticaCTT"/>
                <w:b/>
                <w:sz w:val="18"/>
                <w:szCs w:val="18"/>
              </w:rPr>
              <w:t xml:space="preserve">Преимущественное право приобретения </w:t>
            </w:r>
            <w:r w:rsidR="00B15734" w:rsidRPr="00920E4A">
              <w:rPr>
                <w:rFonts w:ascii="PragmaticaCTT" w:hAnsi="PragmaticaCTT"/>
                <w:b/>
                <w:sz w:val="18"/>
                <w:szCs w:val="18"/>
              </w:rPr>
              <w:t>Биржевых о</w:t>
            </w:r>
            <w:r w:rsidRPr="00920E4A">
              <w:rPr>
                <w:rFonts w:ascii="PragmaticaCTT" w:hAnsi="PragmaticaCTT"/>
                <w:b/>
                <w:sz w:val="18"/>
                <w:szCs w:val="18"/>
              </w:rPr>
              <w:t>блигаций не предусмотрено.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C77" w:rsidRPr="00920E4A" w:rsidRDefault="007E5B01" w:rsidP="00300876">
            <w:pPr>
              <w:widowControl w:val="0"/>
              <w:tabs>
                <w:tab w:val="left" w:pos="2340"/>
              </w:tabs>
              <w:adjustRightInd w:val="0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2.2.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0A6292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Первоначально определенная эмитентом дата начала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размещения ценных бумаг</w:t>
            </w: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: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DA623A" w:rsidRPr="00920E4A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12 апреля 2012</w:t>
            </w:r>
            <w:r w:rsidR="00300876" w:rsidRPr="00920E4A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г.</w:t>
            </w:r>
          </w:p>
        </w:tc>
      </w:tr>
      <w:tr w:rsidR="007E5B01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96E" w:rsidRPr="00920E4A" w:rsidRDefault="007E5B01" w:rsidP="00E91863">
            <w:pPr>
              <w:pStyle w:val="BodyTextIndent1"/>
              <w:spacing w:before="0" w:after="0"/>
              <w:ind w:left="0"/>
              <w:jc w:val="both"/>
              <w:rPr>
                <w:rFonts w:ascii="PragmaticaCTT" w:hAnsi="PragmaticaCTT"/>
                <w:b/>
                <w:color w:val="000000"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D77C6" w:rsidRPr="00920E4A">
              <w:rPr>
                <w:rFonts w:ascii="PragmaticaCTT" w:hAnsi="PragmaticaCTT"/>
                <w:sz w:val="18"/>
                <w:szCs w:val="18"/>
              </w:rPr>
              <w:t>Дата начала размещения</w:t>
            </w:r>
            <w:r w:rsidR="000A6292" w:rsidRPr="00920E4A">
              <w:rPr>
                <w:rFonts w:ascii="PragmaticaCTT" w:hAnsi="PragmaticaCTT"/>
                <w:sz w:val="18"/>
                <w:szCs w:val="18"/>
              </w:rPr>
              <w:t xml:space="preserve"> ценных бумаг в соответствии с принятым эмитентом решением об изменении даты начала размещения ценных бумаг:</w:t>
            </w:r>
            <w:r w:rsidR="000D77C6" w:rsidRPr="00920E4A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5265DF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Дата начала размещения Биржевых об</w:t>
            </w:r>
            <w:r w:rsidR="00DA623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лигаций, ранее </w:t>
            </w:r>
            <w:r w:rsidR="00DA623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lastRenderedPageBreak/>
              <w:t>назначенная на 12.04.2012</w:t>
            </w:r>
            <w:r w:rsidR="005265DF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г. года (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>Приказ</w:t>
            </w:r>
            <w:r w:rsidR="00AE39E3" w:rsidRPr="005321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единоличного исполнительного органа Эмитента</w:t>
            </w:r>
            <w:r w:rsidR="00AE39E3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-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Председателя Правления ЗАО «КБ ДельтаКредит» №</w:t>
            </w:r>
            <w:r w:rsidR="00E91863" w:rsidRPr="00E91863">
              <w:rPr>
                <w:rFonts w:ascii="PragmaticaCTT" w:hAnsi="PragmaticaCTT"/>
                <w:b/>
                <w:bCs/>
                <w:sz w:val="18"/>
                <w:szCs w:val="18"/>
              </w:rPr>
              <w:t>18-П</w:t>
            </w:r>
            <w:r w:rsidR="00DA623A" w:rsidRPr="00920E4A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от «05» апреля 2012 года), </w:t>
            </w:r>
            <w:r w:rsidR="00DA623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r w:rsidR="005265DF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изменена в соответствии с </w:t>
            </w:r>
            <w:r w:rsidR="00AE39E3" w:rsidRPr="00532137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Приказом единоличного исполнительного органа Эмитента</w:t>
            </w:r>
            <w:r w:rsidR="00AE39E3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– </w:t>
            </w:r>
            <w:r w:rsidR="00E91863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И.о. </w:t>
            </w:r>
            <w:r w:rsidR="00DA623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Председателя Правления ЗАО «КБ ДельтаКредит»</w:t>
            </w:r>
            <w:r w:rsidR="00016F8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№</w:t>
            </w:r>
            <w:r w:rsidR="00E91863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20-П </w:t>
            </w:r>
            <w:r w:rsidR="00016F8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от «</w:t>
            </w:r>
            <w:r w:rsidR="00DA623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10» апреля 2012</w:t>
            </w:r>
            <w:r w:rsidR="00016F8A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г.</w:t>
            </w:r>
            <w:r w:rsidR="005265DF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В соответствии с п. 8.2. Решения о выпуске ценных бумаг и п. 2.5. Проспекта ценных бумаг, дата начала размещения ценных бумаг настоящего выпуска будет определена </w:t>
            </w:r>
            <w:r w:rsidR="001A796E"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уполномоченным органом управления Эмитента</w:t>
            </w:r>
            <w:r w:rsidR="001A796E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r w:rsidR="005265DF" w:rsidRPr="00920E4A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и раскрыта в порядке, предусмотренном п. 11. Решения о выпуске ценных бумаг и п. 2.9. Проспекта ценных бумаг.</w:t>
            </w:r>
          </w:p>
        </w:tc>
      </w:tr>
      <w:tr w:rsidR="000A6292" w:rsidRPr="00920E4A">
        <w:trPr>
          <w:trHeight w:val="791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4A2" w:rsidRPr="00920E4A" w:rsidRDefault="000A6292" w:rsidP="007174A2">
            <w:pPr>
              <w:pStyle w:val="BodyTextIndent1"/>
              <w:spacing w:before="0" w:after="0"/>
              <w:ind w:left="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lastRenderedPageBreak/>
              <w:t xml:space="preserve">2.4. </w:t>
            </w:r>
            <w:r w:rsidR="007174A2" w:rsidRPr="00920E4A">
              <w:rPr>
                <w:rFonts w:ascii="PragmaticaCTT" w:hAnsi="PragmaticaCTT"/>
                <w:sz w:val="18"/>
                <w:szCs w:val="18"/>
              </w:rPr>
              <w:t>Дата начала размещения или порядок ее определения: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Размещение Биржевых облигаций серии БО-05 может быть начато не ранее чем через 7 (Семь) дней с момента раскрытия Эмитентом, а также фондовой биржей, осуществившей допуск Биржевых облигаций серии БО-05 к торгам, информации о допуске Биржевых облигаций серии БО-05 к торгам на фондовой бирже в процессе размещения.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 xml:space="preserve">Сообщение </w:t>
            </w:r>
            <w:r w:rsidRPr="00920E4A">
              <w:rPr>
                <w:rStyle w:val="ad"/>
                <w:rFonts w:ascii="PragmaticaCTT" w:hAnsi="PragmaticaCTT"/>
                <w:iCs/>
                <w:sz w:val="18"/>
                <w:szCs w:val="18"/>
              </w:rPr>
              <w:t>о</w:t>
            </w:r>
            <w:r w:rsidRPr="00920E4A">
              <w:rPr>
                <w:rStyle w:val="ad"/>
                <w:rFonts w:ascii="PragmaticaCTT" w:hAnsi="PragmaticaCTT"/>
                <w:i/>
                <w:iCs/>
                <w:sz w:val="18"/>
                <w:szCs w:val="18"/>
              </w:rPr>
              <w:t xml:space="preserve"> </w:t>
            </w:r>
            <w:r w:rsidRPr="00920E4A">
              <w:rPr>
                <w:rStyle w:val="ad"/>
                <w:rFonts w:ascii="PragmaticaCTT" w:hAnsi="PragmaticaCTT"/>
                <w:iCs/>
                <w:sz w:val="18"/>
                <w:szCs w:val="18"/>
              </w:rPr>
              <w:t>допуске Биржевых облигаций серии БО-05 к торгам в процессе их размещения</w:t>
            </w: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 xml:space="preserve"> и порядке доступа к информации, содержащейся в Проспекте ценных бумаг, публикуется Эмитентом в порядке и сроки, указанные в п. 11 Решения о выпуске ценных бумаг и п. 2.9. Проспекта ценных бумаг.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 xml:space="preserve">Дата начала размещения Биржевых облигаций серии БО-05 устанавливается уполномоченным органом управления Эмитента. 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Сообщение о дате начала размещения Биржевых облигаций серии БО-05 публикуется Эмитентом в следующие сроки:</w:t>
            </w:r>
          </w:p>
          <w:p w:rsidR="00920E4A" w:rsidRPr="00920E4A" w:rsidRDefault="00920E4A" w:rsidP="00920E4A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в Ленте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 (далее – «Лента новостей») - не позднее, чем за 5 (Пять) дней до даты начала размещения ценных бумаг;</w:t>
            </w:r>
          </w:p>
          <w:p w:rsidR="00920E4A" w:rsidRPr="00920E4A" w:rsidRDefault="00920E4A" w:rsidP="00920E4A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jc w:val="both"/>
              <w:rPr>
                <w:rFonts w:ascii="PragmaticaCTT" w:hAnsi="PragmaticaCTT"/>
                <w:i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на сайте Эмитента в сети Интернет по адресу </w:t>
            </w:r>
            <w:proofErr w:type="spell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  <w:u w:val="single"/>
              </w:rPr>
              <w:t>www.deltacredit.ru</w:t>
            </w:r>
            <w:proofErr w:type="spell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  <w:u w:val="single"/>
              </w:rPr>
              <w:t>:</w:t>
            </w: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- не позднее, чем за 4 (Четыре) дня до даты начала размещения ценных бумаг.</w:t>
            </w:r>
            <w:r w:rsidRPr="00920E4A">
              <w:rPr>
                <w:rFonts w:ascii="PragmaticaCTT" w:hAnsi="PragmaticaCTT"/>
                <w:i/>
                <w:sz w:val="18"/>
                <w:szCs w:val="18"/>
              </w:rPr>
              <w:t xml:space="preserve"> </w:t>
            </w:r>
          </w:p>
          <w:p w:rsidR="00920E4A" w:rsidRPr="00920E4A" w:rsidRDefault="00920E4A" w:rsidP="00920E4A">
            <w:pPr>
              <w:jc w:val="both"/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При этом</w:t>
            </w:r>
            <w:proofErr w:type="gramStart"/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,</w:t>
            </w:r>
            <w:proofErr w:type="gramEnd"/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публикация на странице в сети Интернет осуществляется после публикации в Ленте новостей.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Эмитент уведомляет Закрытое акционерное общество «Фондовая биржа ММВБ» (далее по тексту – ФБ ММВБ, Биржа) и НРД об определенной дате начала размещения Биржевых облигаций серии БО-05 не позднее, чем за 5 (Пять) дней до даты начала размещения ценных бумаг.</w:t>
            </w:r>
          </w:p>
          <w:p w:rsidR="00920E4A" w:rsidRPr="00920E4A" w:rsidRDefault="00920E4A" w:rsidP="00920E4A">
            <w:pPr>
              <w:pStyle w:val="a9"/>
              <w:spacing w:after="0" w:line="240" w:lineRule="auto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 xml:space="preserve">Дата начала размещения Биржевых облигаций серии БО-05, определенная уполномоченным органом управления Эмитента, может быть изменена его решением при условии соблюдения требований к порядку раскрытия информации об изменении </w:t>
            </w:r>
            <w:proofErr w:type="gramStart"/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даты начала размещения Биржевых облигаций серии</w:t>
            </w:r>
            <w:proofErr w:type="gramEnd"/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 xml:space="preserve"> БО-05, определенному законодательством Российской Федерации, Решением о выпуске ценных бумаг и Проспектом ценных бумаг.</w:t>
            </w:r>
          </w:p>
          <w:p w:rsidR="00920E4A" w:rsidRPr="00920E4A" w:rsidRDefault="00920E4A" w:rsidP="00920E4A">
            <w:pPr>
              <w:jc w:val="both"/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В случае принятия Эмитентом решения об изменении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(Одного) дня до наступления такой даты.</w:t>
            </w:r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При этом</w:t>
            </w:r>
            <w:proofErr w:type="gramStart"/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,</w:t>
            </w:r>
            <w:proofErr w:type="gramEnd"/>
            <w:r w:rsidRPr="00920E4A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публикация на странице в сети Интернет осуществляется после публикации в Ленте новостей.</w:t>
            </w:r>
          </w:p>
          <w:p w:rsidR="000A6292" w:rsidRPr="00920E4A" w:rsidRDefault="00920E4A" w:rsidP="007174A2">
            <w:pPr>
              <w:pStyle w:val="30"/>
              <w:spacing w:after="0"/>
              <w:jc w:val="both"/>
              <w:rPr>
                <w:rFonts w:ascii="PragmaticaCTT" w:hAnsi="PragmaticaCTT"/>
                <w:b/>
                <w:sz w:val="18"/>
                <w:szCs w:val="18"/>
                <w:lang w:eastAsia="en-US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  <w:lang w:eastAsia="en-US"/>
              </w:rPr>
              <w:t xml:space="preserve">Эмитент информирует Биржу о принятых решениях не позднее, не позднее 1 (Одного) дня </w:t>
            </w:r>
            <w:proofErr w:type="gram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  <w:lang w:eastAsia="en-US"/>
              </w:rPr>
              <w:t>с даты принятия</w:t>
            </w:r>
            <w:proofErr w:type="gram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  <w:lang w:eastAsia="en-US"/>
              </w:rPr>
              <w:t xml:space="preserve"> уполномоченным органом Эмитента решения об изменении даты начала размещения ценных бумаг.</w:t>
            </w:r>
          </w:p>
        </w:tc>
      </w:tr>
      <w:tr w:rsidR="001B3C77" w:rsidRPr="00920E4A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7C6" w:rsidRPr="00920E4A" w:rsidRDefault="000A6292" w:rsidP="000D77C6">
            <w:pPr>
              <w:pStyle w:val="ad"/>
              <w:spacing w:before="120"/>
              <w:jc w:val="both"/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</w:pPr>
            <w:r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2.5</w:t>
            </w:r>
            <w:r w:rsidR="007E5B01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.</w:t>
            </w:r>
            <w:r w:rsidR="001B3C77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Дата окончания размещения ценных б</w:t>
            </w:r>
            <w:r w:rsidR="00300876" w:rsidRPr="00920E4A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умаг или порядок ее определения: </w:t>
            </w:r>
          </w:p>
          <w:p w:rsidR="00DA623A" w:rsidRPr="00920E4A" w:rsidRDefault="00DA623A" w:rsidP="00DA623A">
            <w:pPr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920E4A">
              <w:rPr>
                <w:rFonts w:ascii="PragmaticaCTT" w:hAnsi="PragmaticaCTT"/>
                <w:b/>
                <w:sz w:val="18"/>
                <w:szCs w:val="18"/>
              </w:rPr>
              <w:t>Датой окончания размещения Биржевых облигаций серии БО-05 является более ранняя из следующих дат:</w:t>
            </w:r>
          </w:p>
          <w:p w:rsidR="00DA623A" w:rsidRPr="00920E4A" w:rsidRDefault="00DA623A" w:rsidP="00DA623A">
            <w:pPr>
              <w:widowControl w:val="0"/>
              <w:adjustRightInd w:val="0"/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а) 10-й (Десятый) рабочий день </w:t>
            </w:r>
            <w:proofErr w:type="gramStart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с даты начала</w:t>
            </w:r>
            <w:proofErr w:type="gramEnd"/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 xml:space="preserve"> размещения Биржевых облигаций серии БО-05;</w:t>
            </w:r>
          </w:p>
          <w:p w:rsidR="00DA623A" w:rsidRPr="00920E4A" w:rsidRDefault="00DA623A" w:rsidP="00DA623A">
            <w:pPr>
              <w:widowControl w:val="0"/>
              <w:adjustRightInd w:val="0"/>
              <w:jc w:val="both"/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б) дата размещения последней Биржевой облигации серии БО-05 выпуска.</w:t>
            </w:r>
          </w:p>
          <w:p w:rsidR="001B3C77" w:rsidRPr="00920E4A" w:rsidRDefault="00DA623A" w:rsidP="00DA623A">
            <w:pPr>
              <w:pStyle w:val="BodyTextbt"/>
              <w:rPr>
                <w:rFonts w:ascii="PragmaticaCTT" w:hAnsi="PragmaticaCTT"/>
                <w:b w:val="0"/>
                <w:iCs w:val="0"/>
                <w:color w:val="000000"/>
                <w:sz w:val="18"/>
                <w:szCs w:val="18"/>
              </w:rPr>
            </w:pPr>
            <w:r w:rsidRPr="00920E4A">
              <w:rPr>
                <w:rStyle w:val="SUBST"/>
                <w:rFonts w:ascii="PragmaticaCTT" w:hAnsi="PragmaticaCTT"/>
                <w:b/>
                <w:bCs w:val="0"/>
                <w:iCs w:val="0"/>
                <w:sz w:val="18"/>
                <w:szCs w:val="18"/>
              </w:rPr>
              <w:t>Выпуск Биржевых облигаций серии БО-05 не предполагается размещать траншами.</w:t>
            </w:r>
          </w:p>
        </w:tc>
      </w:tr>
    </w:tbl>
    <w:p w:rsidR="003B197D" w:rsidRPr="00016F8A" w:rsidRDefault="003B197D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016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16F8A" w:rsidRDefault="003B197D" w:rsidP="00FB1375">
            <w:pPr>
              <w:jc w:val="center"/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3. Подпись</w:t>
            </w:r>
          </w:p>
        </w:tc>
      </w:tr>
      <w:tr w:rsidR="00016F8A" w:rsidRPr="0001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0E4A" w:rsidRDefault="00016F8A" w:rsidP="00551EAE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016F8A">
              <w:rPr>
                <w:sz w:val="20"/>
                <w:szCs w:val="20"/>
              </w:rPr>
              <w:t>3.1.</w:t>
            </w:r>
            <w:r w:rsidR="00E91863">
              <w:rPr>
                <w:sz w:val="20"/>
                <w:szCs w:val="20"/>
              </w:rPr>
              <w:t xml:space="preserve"> И.о.</w:t>
            </w:r>
            <w:r w:rsidRPr="00016F8A">
              <w:rPr>
                <w:sz w:val="20"/>
                <w:szCs w:val="20"/>
              </w:rPr>
              <w:t xml:space="preserve"> </w:t>
            </w:r>
            <w:r w:rsidR="00DA623A" w:rsidRPr="00300876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E91863">
              <w:rPr>
                <w:rFonts w:ascii="PragmaticaCTT" w:hAnsi="PragmaticaCTT"/>
                <w:sz w:val="18"/>
                <w:szCs w:val="18"/>
              </w:rPr>
              <w:t xml:space="preserve">я </w:t>
            </w:r>
            <w:r w:rsidR="00DA623A" w:rsidRPr="00300876">
              <w:rPr>
                <w:rFonts w:ascii="PragmaticaCTT" w:hAnsi="PragmaticaCTT"/>
                <w:sz w:val="18"/>
                <w:szCs w:val="18"/>
              </w:rPr>
              <w:t xml:space="preserve"> Правления                               </w:t>
            </w:r>
          </w:p>
          <w:p w:rsidR="00016F8A" w:rsidRPr="00016F8A" w:rsidRDefault="00DA623A" w:rsidP="00551EAE">
            <w:pPr>
              <w:ind w:left="57"/>
              <w:rPr>
                <w:sz w:val="20"/>
                <w:szCs w:val="20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 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F8A" w:rsidRPr="00016F8A" w:rsidRDefault="00016F8A" w:rsidP="0055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F8A" w:rsidRPr="00016F8A" w:rsidRDefault="00016F8A" w:rsidP="00551EA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F8A" w:rsidRPr="00016F8A" w:rsidRDefault="00E91863" w:rsidP="00551EAE">
            <w:pPr>
              <w:jc w:val="center"/>
              <w:rPr>
                <w:sz w:val="20"/>
                <w:szCs w:val="20"/>
              </w:rPr>
            </w:pPr>
            <w:r>
              <w:rPr>
                <w:rFonts w:ascii="PragmaticaCTT" w:hAnsi="PragmaticaCTT"/>
                <w:sz w:val="18"/>
                <w:szCs w:val="18"/>
              </w:rPr>
              <w:t>К.Ю. Артюх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</w:tr>
      <w:tr w:rsidR="00016F8A" w:rsidRPr="0001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8A" w:rsidRPr="00016F8A" w:rsidRDefault="00016F8A" w:rsidP="00FB137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F8A" w:rsidRPr="00016F8A" w:rsidRDefault="00016F8A" w:rsidP="00FB1375">
            <w:pPr>
              <w:jc w:val="center"/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</w:tr>
      <w:tr w:rsidR="00016F8A" w:rsidRPr="0001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6F8A" w:rsidRPr="00016F8A" w:rsidRDefault="00016F8A" w:rsidP="00FB1375">
            <w:pPr>
              <w:ind w:left="57"/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3.2. Дата   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F8A" w:rsidRPr="00016F8A" w:rsidRDefault="00DA623A" w:rsidP="00FB1375">
            <w:pPr>
              <w:jc w:val="center"/>
              <w:rPr>
                <w:sz w:val="20"/>
                <w:szCs w:val="20"/>
                <w:highlight w:val="yellow"/>
              </w:rPr>
            </w:pPr>
            <w:r w:rsidRPr="00DA623A">
              <w:rPr>
                <w:sz w:val="20"/>
                <w:szCs w:val="20"/>
              </w:rPr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F8A" w:rsidRPr="00016F8A" w:rsidRDefault="00DA623A" w:rsidP="00FB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F8A" w:rsidRPr="00016F8A" w:rsidRDefault="00016F8A" w:rsidP="00FB1375">
            <w:pPr>
              <w:jc w:val="right"/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F8A" w:rsidRPr="00016F8A" w:rsidRDefault="00DA623A" w:rsidP="00FB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F8A" w:rsidRPr="00016F8A" w:rsidRDefault="00016F8A" w:rsidP="00FB1375">
            <w:pPr>
              <w:ind w:left="57"/>
              <w:rPr>
                <w:sz w:val="20"/>
                <w:szCs w:val="20"/>
              </w:rPr>
            </w:pPr>
            <w:proofErr w:type="gramStart"/>
            <w:r w:rsidRPr="00016F8A">
              <w:rPr>
                <w:sz w:val="20"/>
                <w:szCs w:val="20"/>
              </w:rPr>
              <w:t>г</w:t>
            </w:r>
            <w:proofErr w:type="gramEnd"/>
            <w:r w:rsidRPr="00016F8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F8A" w:rsidRPr="00016F8A" w:rsidRDefault="00016F8A" w:rsidP="00FB1375">
            <w:pPr>
              <w:jc w:val="center"/>
              <w:rPr>
                <w:sz w:val="20"/>
                <w:szCs w:val="20"/>
              </w:rPr>
            </w:pPr>
            <w:r w:rsidRPr="00016F8A">
              <w:rPr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</w:tr>
      <w:tr w:rsidR="00016F8A" w:rsidRPr="0001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F8A" w:rsidRPr="00016F8A" w:rsidRDefault="00016F8A" w:rsidP="00FB137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F8A" w:rsidRPr="00016F8A" w:rsidRDefault="00016F8A" w:rsidP="00FB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F8A" w:rsidRPr="00016F8A" w:rsidRDefault="00016F8A" w:rsidP="00FB1375">
            <w:pPr>
              <w:rPr>
                <w:sz w:val="20"/>
                <w:szCs w:val="20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F8" w:rsidRDefault="00430AF8">
      <w:r>
        <w:separator/>
      </w:r>
    </w:p>
  </w:endnote>
  <w:endnote w:type="continuationSeparator" w:id="0">
    <w:p w:rsidR="00430AF8" w:rsidRDefault="0043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F8" w:rsidRDefault="00430AF8">
      <w:r>
        <w:separator/>
      </w:r>
    </w:p>
  </w:footnote>
  <w:footnote w:type="continuationSeparator" w:id="0">
    <w:p w:rsidR="00430AF8" w:rsidRDefault="0043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6F8A"/>
    <w:rsid w:val="00017415"/>
    <w:rsid w:val="00034694"/>
    <w:rsid w:val="000411C2"/>
    <w:rsid w:val="0004799A"/>
    <w:rsid w:val="00066E91"/>
    <w:rsid w:val="000A1815"/>
    <w:rsid w:val="000A6292"/>
    <w:rsid w:val="000B14AB"/>
    <w:rsid w:val="000B651C"/>
    <w:rsid w:val="000B6E9D"/>
    <w:rsid w:val="000C7456"/>
    <w:rsid w:val="000D42F3"/>
    <w:rsid w:val="000D77C6"/>
    <w:rsid w:val="0014291E"/>
    <w:rsid w:val="00167460"/>
    <w:rsid w:val="001A796E"/>
    <w:rsid w:val="001B27B5"/>
    <w:rsid w:val="001B3C77"/>
    <w:rsid w:val="001B469A"/>
    <w:rsid w:val="001C4F9B"/>
    <w:rsid w:val="001E091B"/>
    <w:rsid w:val="001E2BA5"/>
    <w:rsid w:val="001E3380"/>
    <w:rsid w:val="001F688C"/>
    <w:rsid w:val="002017CB"/>
    <w:rsid w:val="00232BD1"/>
    <w:rsid w:val="00276A90"/>
    <w:rsid w:val="002A6477"/>
    <w:rsid w:val="002A76EC"/>
    <w:rsid w:val="002C49EA"/>
    <w:rsid w:val="00300876"/>
    <w:rsid w:val="003035A5"/>
    <w:rsid w:val="003039AC"/>
    <w:rsid w:val="00350F64"/>
    <w:rsid w:val="0035484A"/>
    <w:rsid w:val="00370767"/>
    <w:rsid w:val="00377C5A"/>
    <w:rsid w:val="003935F4"/>
    <w:rsid w:val="003A6E91"/>
    <w:rsid w:val="003B197D"/>
    <w:rsid w:val="003C5CB9"/>
    <w:rsid w:val="003D1517"/>
    <w:rsid w:val="003E34E9"/>
    <w:rsid w:val="003F522C"/>
    <w:rsid w:val="00401CED"/>
    <w:rsid w:val="0041369A"/>
    <w:rsid w:val="00420F7F"/>
    <w:rsid w:val="00430327"/>
    <w:rsid w:val="00430AF8"/>
    <w:rsid w:val="0044380D"/>
    <w:rsid w:val="00452DDB"/>
    <w:rsid w:val="00461DD6"/>
    <w:rsid w:val="004876BF"/>
    <w:rsid w:val="00493400"/>
    <w:rsid w:val="00497155"/>
    <w:rsid w:val="004B3A77"/>
    <w:rsid w:val="004B453B"/>
    <w:rsid w:val="004D1897"/>
    <w:rsid w:val="004E7CCD"/>
    <w:rsid w:val="00516CB4"/>
    <w:rsid w:val="00524BAE"/>
    <w:rsid w:val="005265B2"/>
    <w:rsid w:val="005265DF"/>
    <w:rsid w:val="00546371"/>
    <w:rsid w:val="00551EAE"/>
    <w:rsid w:val="00562F72"/>
    <w:rsid w:val="005705CC"/>
    <w:rsid w:val="00582779"/>
    <w:rsid w:val="005A1C56"/>
    <w:rsid w:val="005A7703"/>
    <w:rsid w:val="005D4F95"/>
    <w:rsid w:val="005E00E7"/>
    <w:rsid w:val="005E5DBE"/>
    <w:rsid w:val="00601BF9"/>
    <w:rsid w:val="00615749"/>
    <w:rsid w:val="00622332"/>
    <w:rsid w:val="00645FD9"/>
    <w:rsid w:val="00665B77"/>
    <w:rsid w:val="00675040"/>
    <w:rsid w:val="006B25D4"/>
    <w:rsid w:val="007174A2"/>
    <w:rsid w:val="00747E5A"/>
    <w:rsid w:val="00783F5A"/>
    <w:rsid w:val="0078720B"/>
    <w:rsid w:val="00794632"/>
    <w:rsid w:val="007B4E81"/>
    <w:rsid w:val="007C0F5A"/>
    <w:rsid w:val="007D2B7D"/>
    <w:rsid w:val="007E5B01"/>
    <w:rsid w:val="008074E1"/>
    <w:rsid w:val="00812856"/>
    <w:rsid w:val="008279C2"/>
    <w:rsid w:val="008B5FB4"/>
    <w:rsid w:val="008C73C9"/>
    <w:rsid w:val="00920E4A"/>
    <w:rsid w:val="00922005"/>
    <w:rsid w:val="009431D1"/>
    <w:rsid w:val="00955BB2"/>
    <w:rsid w:val="009736E0"/>
    <w:rsid w:val="009773EB"/>
    <w:rsid w:val="009813CC"/>
    <w:rsid w:val="00987399"/>
    <w:rsid w:val="009A2006"/>
    <w:rsid w:val="009A440D"/>
    <w:rsid w:val="009A5CCF"/>
    <w:rsid w:val="009D6355"/>
    <w:rsid w:val="009D7128"/>
    <w:rsid w:val="009E2B52"/>
    <w:rsid w:val="00A029B4"/>
    <w:rsid w:val="00A10D72"/>
    <w:rsid w:val="00A12986"/>
    <w:rsid w:val="00A20E08"/>
    <w:rsid w:val="00A20F8B"/>
    <w:rsid w:val="00A36826"/>
    <w:rsid w:val="00A4189D"/>
    <w:rsid w:val="00A71A3C"/>
    <w:rsid w:val="00AB67DD"/>
    <w:rsid w:val="00AD2363"/>
    <w:rsid w:val="00AD506E"/>
    <w:rsid w:val="00AD52C8"/>
    <w:rsid w:val="00AE00A3"/>
    <w:rsid w:val="00AE39E3"/>
    <w:rsid w:val="00B041EA"/>
    <w:rsid w:val="00B15734"/>
    <w:rsid w:val="00B2328E"/>
    <w:rsid w:val="00B6664D"/>
    <w:rsid w:val="00B71DE0"/>
    <w:rsid w:val="00B7492B"/>
    <w:rsid w:val="00B83D74"/>
    <w:rsid w:val="00BA0149"/>
    <w:rsid w:val="00BA2727"/>
    <w:rsid w:val="00BD21EA"/>
    <w:rsid w:val="00BD53E4"/>
    <w:rsid w:val="00BE4792"/>
    <w:rsid w:val="00C0570A"/>
    <w:rsid w:val="00C06E7A"/>
    <w:rsid w:val="00C55821"/>
    <w:rsid w:val="00C70A7A"/>
    <w:rsid w:val="00C97E68"/>
    <w:rsid w:val="00CC23E1"/>
    <w:rsid w:val="00CE64D4"/>
    <w:rsid w:val="00D06ADA"/>
    <w:rsid w:val="00D20980"/>
    <w:rsid w:val="00D42645"/>
    <w:rsid w:val="00DA623A"/>
    <w:rsid w:val="00DC2836"/>
    <w:rsid w:val="00DD3203"/>
    <w:rsid w:val="00DF1F0D"/>
    <w:rsid w:val="00E071AA"/>
    <w:rsid w:val="00E13D34"/>
    <w:rsid w:val="00E65B28"/>
    <w:rsid w:val="00E91863"/>
    <w:rsid w:val="00E92ABA"/>
    <w:rsid w:val="00EB5842"/>
    <w:rsid w:val="00EB67E4"/>
    <w:rsid w:val="00EE30B4"/>
    <w:rsid w:val="00EE3C24"/>
    <w:rsid w:val="00F01F22"/>
    <w:rsid w:val="00F3767F"/>
    <w:rsid w:val="00F74B4F"/>
    <w:rsid w:val="00FA1D72"/>
    <w:rsid w:val="00FB1375"/>
    <w:rsid w:val="00FB140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aliases w:val="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BodyTextIndent1">
    <w:name w:val="Body Text Indent1"/>
    <w:basedOn w:val="a"/>
    <w:rsid w:val="000D77C6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d">
    <w:name w:val="Strong"/>
    <w:basedOn w:val="a0"/>
    <w:qFormat/>
    <w:rsid w:val="000D77C6"/>
    <w:rPr>
      <w:b/>
      <w:bCs/>
    </w:rPr>
  </w:style>
  <w:style w:type="paragraph" w:customStyle="1" w:styleId="1">
    <w:name w:val="Стиль Подзаголовка 1"/>
    <w:basedOn w:val="a"/>
    <w:rsid w:val="000D77C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bt">
    <w:name w:val="Body Text.bt"/>
    <w:basedOn w:val="a"/>
    <w:rsid w:val="000D77C6"/>
    <w:pPr>
      <w:jc w:val="both"/>
    </w:pPr>
    <w:rPr>
      <w:b/>
      <w:bCs/>
      <w:i/>
      <w:iCs/>
      <w:sz w:val="22"/>
      <w:szCs w:val="22"/>
    </w:rPr>
  </w:style>
  <w:style w:type="paragraph" w:customStyle="1" w:styleId="BodyTextIndent">
    <w:name w:val="Body Text Indent"/>
    <w:aliases w:val="Основной текст 1,Нумерованный список !!,Надин стиль,Body Text 2 Char,Îñíîâíîé òåêñò 1,Основной текст с отступом Знак,Основной с отступом,Iniiaiie oaeno 1,Ioia?iaaiiue nienie !!,Char,Основной текст 22"/>
    <w:basedOn w:val="a"/>
    <w:link w:val="BodyTextIndent0"/>
    <w:rsid w:val="00016F8A"/>
    <w:pPr>
      <w:spacing w:before="480"/>
      <w:jc w:val="center"/>
    </w:pPr>
    <w:rPr>
      <w:lang w:eastAsia="en-US"/>
    </w:rPr>
  </w:style>
  <w:style w:type="character" w:customStyle="1" w:styleId="BodyTextIndent0">
    <w:name w:val="Body Text Indent Знак"/>
    <w:aliases w:val="Основной текст 1 Знак,Нумерованный список !! Знак,Надин стиль Знак,Body Text 2 Char Знак,Îñíîâíîé òåêñò 1 Знак,Основной текст с отступом Знак Знак,Основной с отступом Знак,Iniiaiie oaeno 1 Знак,Ioia?iaaiiue nienie !! Знак,Char Знак"/>
    <w:basedOn w:val="a0"/>
    <w:link w:val="BodyTextIndent"/>
    <w:semiHidden/>
    <w:rsid w:val="00016F8A"/>
    <w:rPr>
      <w:sz w:val="24"/>
      <w:szCs w:val="24"/>
      <w:lang w:eastAsia="en-US" w:bidi="ar-SA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Body Text 2 Char Char1,Îñíîâíîé òåêñò 1 Char1,Основной текст с отступом Знак Char1,Основной с отступом Char1,Iniiaiie oaeno 1 Char1,Ioia?iaaiiue nienie !! Char1"/>
    <w:basedOn w:val="a0"/>
    <w:semiHidden/>
    <w:rsid w:val="001A796E"/>
    <w:rPr>
      <w:rFonts w:cs="Times New Roman"/>
      <w:sz w:val="20"/>
      <w:szCs w:val="20"/>
      <w:lang w:eastAsia="en-US"/>
    </w:rPr>
  </w:style>
  <w:style w:type="paragraph" w:customStyle="1" w:styleId="ListParagraph">
    <w:name w:val="List Paragraph"/>
    <w:basedOn w:val="a"/>
    <w:rsid w:val="00920E4A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1056</Words>
  <Characters>6942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2</cp:revision>
  <cp:lastPrinted>2011-11-25T11:49:00Z</cp:lastPrinted>
  <dcterms:created xsi:type="dcterms:W3CDTF">2012-04-10T14:40:00Z</dcterms:created>
  <dcterms:modified xsi:type="dcterms:W3CDTF">2012-04-10T14:40:00Z</dcterms:modified>
</cp:coreProperties>
</file>